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E1726" w14:textId="13B5B201" w:rsidR="0041602F" w:rsidRPr="00B66417" w:rsidRDefault="0041602F" w:rsidP="00C163E5">
      <w:pPr>
        <w:pStyle w:val="Kop2"/>
        <w:numPr>
          <w:ilvl w:val="0"/>
          <w:numId w:val="0"/>
        </w:numPr>
        <w:rPr>
          <w:sz w:val="18"/>
          <w:szCs w:val="24"/>
        </w:rPr>
      </w:pPr>
      <w:bookmarkStart w:id="0" w:name="_Toc140051009"/>
      <w:r w:rsidRPr="00B66417">
        <w:rPr>
          <w:sz w:val="18"/>
          <w:szCs w:val="24"/>
        </w:rPr>
        <w:t>Emissie-inventaris en berekende GHG-emissies</w:t>
      </w:r>
      <w:bookmarkEnd w:id="0"/>
      <w:r w:rsidR="00C163E5" w:rsidRPr="00B66417">
        <w:rPr>
          <w:sz w:val="18"/>
          <w:szCs w:val="24"/>
        </w:rPr>
        <w:t xml:space="preserve"> van het jaar 202</w:t>
      </w:r>
      <w:r w:rsidR="00D371AC" w:rsidRPr="00B66417">
        <w:rPr>
          <w:sz w:val="18"/>
          <w:szCs w:val="24"/>
        </w:rPr>
        <w:t>3</w:t>
      </w:r>
    </w:p>
    <w:p w14:paraId="78F2B006" w14:textId="110888EF" w:rsidR="0041602F" w:rsidRPr="00B66417" w:rsidRDefault="0041602F" w:rsidP="0041602F">
      <w:pPr>
        <w:rPr>
          <w:sz w:val="18"/>
          <w:szCs w:val="22"/>
        </w:rPr>
      </w:pPr>
      <w:r w:rsidRPr="00B66417">
        <w:rPr>
          <w:sz w:val="18"/>
          <w:szCs w:val="22"/>
        </w:rPr>
        <w:t>In onderstaande tabel worden de emissiebronnen en bijbehorende hoeveelheden voor 202</w:t>
      </w:r>
      <w:r w:rsidR="00D371AC" w:rsidRPr="00B66417">
        <w:rPr>
          <w:sz w:val="18"/>
          <w:szCs w:val="22"/>
        </w:rPr>
        <w:t>3</w:t>
      </w:r>
      <w:r w:rsidRPr="00B66417">
        <w:rPr>
          <w:sz w:val="18"/>
          <w:szCs w:val="22"/>
        </w:rPr>
        <w:t xml:space="preserve"> weergegeven.</w:t>
      </w:r>
    </w:p>
    <w:tbl>
      <w:tblPr>
        <w:tblStyle w:val="Rastertabel4-Accent2"/>
        <w:tblW w:w="9067" w:type="dxa"/>
        <w:tblLook w:val="04A0" w:firstRow="1" w:lastRow="0" w:firstColumn="1" w:lastColumn="0" w:noHBand="0" w:noVBand="1"/>
      </w:tblPr>
      <w:tblGrid>
        <w:gridCol w:w="4031"/>
        <w:gridCol w:w="1776"/>
        <w:gridCol w:w="1701"/>
        <w:gridCol w:w="1559"/>
      </w:tblGrid>
      <w:tr w:rsidR="003703D9" w:rsidRPr="00641167" w14:paraId="10223175" w14:textId="77777777" w:rsidTr="003703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gridSpan w:val="3"/>
          </w:tcPr>
          <w:p w14:paraId="1157D137" w14:textId="45BB82C6" w:rsidR="003703D9" w:rsidRPr="00641167" w:rsidRDefault="003703D9" w:rsidP="004F2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</w:t>
            </w:r>
            <w:r>
              <w:rPr>
                <w:rFonts w:ascii="Cambria Math" w:hAnsi="Cambria Math" w:cs="Cambria Math"/>
                <w:sz w:val="18"/>
                <w:szCs w:val="18"/>
              </w:rPr>
              <w:t>₂</w:t>
            </w:r>
            <w:r w:rsidRPr="00641167">
              <w:rPr>
                <w:sz w:val="18"/>
                <w:szCs w:val="18"/>
              </w:rPr>
              <w:t>-emissie</w:t>
            </w:r>
            <w:r>
              <w:rPr>
                <w:sz w:val="18"/>
                <w:szCs w:val="18"/>
              </w:rPr>
              <w:t>s 202</w:t>
            </w:r>
            <w:r w:rsidR="00D371AC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7101E858" w14:textId="77777777" w:rsidR="003703D9" w:rsidRDefault="003703D9" w:rsidP="004F2F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703D9" w:rsidRPr="00641167" w14:paraId="52540E6D" w14:textId="77777777" w:rsidTr="00370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1" w:type="dxa"/>
          </w:tcPr>
          <w:p w14:paraId="0AD01678" w14:textId="77777777" w:rsidR="003703D9" w:rsidRPr="00641167" w:rsidRDefault="003703D9" w:rsidP="00CF69B1">
            <w:pPr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776" w:type="dxa"/>
          </w:tcPr>
          <w:p w14:paraId="6BFABF93" w14:textId="77777777" w:rsidR="003703D9" w:rsidRPr="00B8769E" w:rsidRDefault="003703D9" w:rsidP="00CF6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B8769E">
              <w:rPr>
                <w:b/>
                <w:bCs/>
                <w:sz w:val="18"/>
                <w:szCs w:val="18"/>
              </w:rPr>
              <w:t>Hoeveelheid</w:t>
            </w:r>
          </w:p>
        </w:tc>
        <w:tc>
          <w:tcPr>
            <w:tcW w:w="1701" w:type="dxa"/>
          </w:tcPr>
          <w:p w14:paraId="0D945D45" w14:textId="5124C04E" w:rsidR="003703D9" w:rsidRPr="00B8769E" w:rsidRDefault="003703D9" w:rsidP="00CF6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B8769E">
              <w:rPr>
                <w:b/>
                <w:bCs/>
                <w:sz w:val="18"/>
                <w:szCs w:val="18"/>
              </w:rPr>
              <w:t>ton CO</w:t>
            </w:r>
            <w:r w:rsidRPr="00B8769E">
              <w:rPr>
                <w:rFonts w:cs="Cambria Math"/>
                <w:b/>
                <w:bCs/>
                <w:sz w:val="18"/>
                <w:szCs w:val="18"/>
              </w:rPr>
              <w:t>₂</w:t>
            </w:r>
          </w:p>
        </w:tc>
        <w:tc>
          <w:tcPr>
            <w:tcW w:w="1559" w:type="dxa"/>
          </w:tcPr>
          <w:p w14:paraId="0FCAE514" w14:textId="206488A7" w:rsidR="003703D9" w:rsidRPr="00B8769E" w:rsidRDefault="003703D9" w:rsidP="00CF6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B8769E">
              <w:rPr>
                <w:b/>
                <w:bCs/>
                <w:sz w:val="18"/>
                <w:szCs w:val="18"/>
              </w:rPr>
              <w:t>Percentage</w:t>
            </w:r>
          </w:p>
        </w:tc>
      </w:tr>
      <w:tr w:rsidR="003703D9" w:rsidRPr="00641167" w14:paraId="6DEFAC64" w14:textId="77777777" w:rsidTr="00B6641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4"/>
          </w:tcPr>
          <w:p w14:paraId="4CD8671C" w14:textId="77777777" w:rsidR="003703D9" w:rsidRDefault="003703D9" w:rsidP="00CF69B1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Scope 1</w:t>
            </w:r>
          </w:p>
        </w:tc>
      </w:tr>
      <w:tr w:rsidR="003703D9" w:rsidRPr="00641167" w14:paraId="0C956565" w14:textId="77777777" w:rsidTr="00370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1" w:type="dxa"/>
          </w:tcPr>
          <w:p w14:paraId="1EB572D7" w14:textId="77777777" w:rsidR="003703D9" w:rsidRPr="00B8769E" w:rsidRDefault="003703D9" w:rsidP="0023647C">
            <w:pPr>
              <w:jc w:val="left"/>
              <w:rPr>
                <w:b w:val="0"/>
                <w:bCs w:val="0"/>
                <w:sz w:val="18"/>
                <w:szCs w:val="18"/>
              </w:rPr>
            </w:pPr>
            <w:r w:rsidRPr="00B8769E">
              <w:rPr>
                <w:b w:val="0"/>
                <w:bCs w:val="0"/>
                <w:sz w:val="18"/>
                <w:szCs w:val="18"/>
              </w:rPr>
              <w:t>Brandstofverbruik wagenpark (diesel)</w:t>
            </w:r>
          </w:p>
        </w:tc>
        <w:tc>
          <w:tcPr>
            <w:tcW w:w="1776" w:type="dxa"/>
          </w:tcPr>
          <w:p w14:paraId="320354FC" w14:textId="7D07C8A4" w:rsidR="003703D9" w:rsidRPr="00641167" w:rsidRDefault="003703D9" w:rsidP="002364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671A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="003671A1">
              <w:rPr>
                <w:sz w:val="18"/>
                <w:szCs w:val="18"/>
              </w:rPr>
              <w:t>209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1701" w:type="dxa"/>
          </w:tcPr>
          <w:p w14:paraId="44E007D6" w14:textId="15F0467E" w:rsidR="003703D9" w:rsidRPr="00641167" w:rsidRDefault="003703D9" w:rsidP="002364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14C1A">
              <w:rPr>
                <w:sz w:val="18"/>
                <w:szCs w:val="18"/>
              </w:rPr>
              <w:t>73</w:t>
            </w:r>
          </w:p>
        </w:tc>
        <w:tc>
          <w:tcPr>
            <w:tcW w:w="1559" w:type="dxa"/>
          </w:tcPr>
          <w:p w14:paraId="619970BC" w14:textId="2858F5EC" w:rsidR="003703D9" w:rsidRPr="00641167" w:rsidRDefault="003703D9" w:rsidP="002364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D14C1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%</w:t>
            </w:r>
          </w:p>
        </w:tc>
      </w:tr>
      <w:tr w:rsidR="003703D9" w:rsidRPr="00641167" w14:paraId="241B0BE7" w14:textId="77777777" w:rsidTr="003703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1" w:type="dxa"/>
          </w:tcPr>
          <w:p w14:paraId="5A5F84B1" w14:textId="77777777" w:rsidR="003703D9" w:rsidRPr="00B8769E" w:rsidRDefault="003703D9" w:rsidP="0023647C">
            <w:pPr>
              <w:jc w:val="left"/>
              <w:rPr>
                <w:sz w:val="18"/>
                <w:szCs w:val="18"/>
              </w:rPr>
            </w:pPr>
            <w:r w:rsidRPr="00B8769E">
              <w:rPr>
                <w:b w:val="0"/>
                <w:bCs w:val="0"/>
                <w:sz w:val="18"/>
                <w:szCs w:val="18"/>
              </w:rPr>
              <w:t>Gasverbruik kantoren en materieel</w:t>
            </w:r>
          </w:p>
        </w:tc>
        <w:tc>
          <w:tcPr>
            <w:tcW w:w="1776" w:type="dxa"/>
          </w:tcPr>
          <w:p w14:paraId="1D727290" w14:textId="47C42218" w:rsidR="003703D9" w:rsidRDefault="003671A1" w:rsidP="002364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3703D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909</w:t>
            </w:r>
            <w:r w:rsidR="003703D9">
              <w:rPr>
                <w:sz w:val="18"/>
                <w:szCs w:val="18"/>
              </w:rPr>
              <w:t xml:space="preserve"> Nm</w:t>
            </w:r>
            <w:r w:rsidR="003703D9" w:rsidRPr="00B8769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01" w:type="dxa"/>
          </w:tcPr>
          <w:p w14:paraId="4AA1C63E" w14:textId="0DD10B34" w:rsidR="003703D9" w:rsidRDefault="003703D9" w:rsidP="002364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14C1A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3B3F20C0" w14:textId="455F6A95" w:rsidR="003703D9" w:rsidRDefault="003703D9" w:rsidP="002364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</w:tr>
      <w:tr w:rsidR="003703D9" w:rsidRPr="00641167" w14:paraId="6C8D7625" w14:textId="77777777" w:rsidTr="00370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1" w:type="dxa"/>
          </w:tcPr>
          <w:p w14:paraId="1D3947E7" w14:textId="18810CCC" w:rsidR="003703D9" w:rsidRPr="00C27F5F" w:rsidRDefault="003703D9" w:rsidP="0023647C">
            <w:pPr>
              <w:jc w:val="left"/>
              <w:rPr>
                <w:b w:val="0"/>
                <w:bCs w:val="0"/>
                <w:sz w:val="18"/>
                <w:szCs w:val="18"/>
              </w:rPr>
            </w:pPr>
            <w:r w:rsidRPr="00C27F5F">
              <w:rPr>
                <w:b w:val="0"/>
                <w:bCs w:val="0"/>
                <w:sz w:val="18"/>
                <w:szCs w:val="18"/>
              </w:rPr>
              <w:t>-Gasverbruik woonhuis</w:t>
            </w:r>
          </w:p>
        </w:tc>
        <w:tc>
          <w:tcPr>
            <w:tcW w:w="1776" w:type="dxa"/>
          </w:tcPr>
          <w:p w14:paraId="398828FB" w14:textId="424E7330" w:rsidR="003703D9" w:rsidRDefault="003703D9" w:rsidP="002364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-1.200 Nm</w:t>
            </w:r>
            <w:r w:rsidRPr="00B8769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01" w:type="dxa"/>
          </w:tcPr>
          <w:p w14:paraId="37990AA3" w14:textId="5F089640" w:rsidR="003703D9" w:rsidRDefault="003703D9" w:rsidP="002364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14C1A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0539E6CF" w14:textId="469912F5" w:rsidR="003703D9" w:rsidRDefault="003703D9" w:rsidP="002364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14C1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%</w:t>
            </w:r>
          </w:p>
        </w:tc>
      </w:tr>
      <w:tr w:rsidR="003703D9" w:rsidRPr="00641167" w14:paraId="09FA1E58" w14:textId="77777777" w:rsidTr="003703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4"/>
          </w:tcPr>
          <w:p w14:paraId="377F694C" w14:textId="77777777" w:rsidR="003703D9" w:rsidRPr="00641167" w:rsidRDefault="003703D9" w:rsidP="0023647C">
            <w:pPr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Scope 2</w:t>
            </w:r>
          </w:p>
        </w:tc>
      </w:tr>
      <w:tr w:rsidR="003703D9" w:rsidRPr="00641167" w14:paraId="1BBA8816" w14:textId="77777777" w:rsidTr="00370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1" w:type="dxa"/>
          </w:tcPr>
          <w:p w14:paraId="5B6AD907" w14:textId="77777777" w:rsidR="003703D9" w:rsidRPr="00B8769E" w:rsidRDefault="003703D9" w:rsidP="0023647C">
            <w:pPr>
              <w:jc w:val="left"/>
              <w:rPr>
                <w:b w:val="0"/>
                <w:bCs w:val="0"/>
                <w:sz w:val="18"/>
                <w:szCs w:val="18"/>
              </w:rPr>
            </w:pPr>
            <w:r w:rsidRPr="00B8769E">
              <w:rPr>
                <w:b w:val="0"/>
                <w:bCs w:val="0"/>
                <w:sz w:val="18"/>
                <w:szCs w:val="18"/>
              </w:rPr>
              <w:t>Elektriciteitsverbruik kantoren en materieel</w:t>
            </w:r>
          </w:p>
        </w:tc>
        <w:tc>
          <w:tcPr>
            <w:tcW w:w="1776" w:type="dxa"/>
          </w:tcPr>
          <w:p w14:paraId="2D14D130" w14:textId="7659E5A6" w:rsidR="003703D9" w:rsidRPr="00641167" w:rsidRDefault="003671A1" w:rsidP="002364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3703D9">
              <w:rPr>
                <w:sz w:val="18"/>
                <w:szCs w:val="18"/>
              </w:rPr>
              <w:t>.</w:t>
            </w:r>
            <w:r w:rsidR="00D14C1A">
              <w:rPr>
                <w:sz w:val="18"/>
                <w:szCs w:val="18"/>
              </w:rPr>
              <w:t>931</w:t>
            </w:r>
            <w:r w:rsidR="003703D9">
              <w:rPr>
                <w:sz w:val="18"/>
                <w:szCs w:val="18"/>
              </w:rPr>
              <w:t xml:space="preserve"> kWh</w:t>
            </w:r>
          </w:p>
        </w:tc>
        <w:tc>
          <w:tcPr>
            <w:tcW w:w="1701" w:type="dxa"/>
          </w:tcPr>
          <w:p w14:paraId="12A9EAA5" w14:textId="4658B77D" w:rsidR="003703D9" w:rsidRPr="00641167" w:rsidRDefault="003703D9" w:rsidP="002364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14:paraId="1B9B6501" w14:textId="77777777" w:rsidR="003703D9" w:rsidRPr="00641167" w:rsidRDefault="003703D9" w:rsidP="002364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703D9" w:rsidRPr="00641167" w14:paraId="679058E4" w14:textId="77777777" w:rsidTr="003703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1" w:type="dxa"/>
          </w:tcPr>
          <w:p w14:paraId="5E037481" w14:textId="77777777" w:rsidR="003703D9" w:rsidRPr="00B8769E" w:rsidRDefault="003703D9" w:rsidP="0023647C">
            <w:pPr>
              <w:jc w:val="lef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B8769E">
              <w:rPr>
                <w:b w:val="0"/>
                <w:bCs w:val="0"/>
                <w:sz w:val="18"/>
                <w:szCs w:val="18"/>
              </w:rPr>
              <w:t>Teruglevering</w:t>
            </w:r>
            <w:proofErr w:type="spellEnd"/>
            <w:r w:rsidRPr="00B8769E">
              <w:rPr>
                <w:b w:val="0"/>
                <w:bCs w:val="0"/>
                <w:sz w:val="18"/>
                <w:szCs w:val="18"/>
              </w:rPr>
              <w:t xml:space="preserve"> elektriciteit door zonnepanelen</w:t>
            </w:r>
          </w:p>
        </w:tc>
        <w:tc>
          <w:tcPr>
            <w:tcW w:w="1776" w:type="dxa"/>
          </w:tcPr>
          <w:p w14:paraId="459961C3" w14:textId="3C643EC2" w:rsidR="003703D9" w:rsidRPr="00641167" w:rsidRDefault="00D14C1A" w:rsidP="002364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3703D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803</w:t>
            </w:r>
            <w:r w:rsidR="003703D9">
              <w:rPr>
                <w:sz w:val="18"/>
                <w:szCs w:val="18"/>
              </w:rPr>
              <w:t xml:space="preserve"> kWh</w:t>
            </w:r>
          </w:p>
        </w:tc>
        <w:tc>
          <w:tcPr>
            <w:tcW w:w="1701" w:type="dxa"/>
          </w:tcPr>
          <w:p w14:paraId="28485B12" w14:textId="77777777" w:rsidR="003703D9" w:rsidRPr="00641167" w:rsidRDefault="003703D9" w:rsidP="002364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14:paraId="7ADA8439" w14:textId="77777777" w:rsidR="003703D9" w:rsidRPr="00641167" w:rsidRDefault="003703D9" w:rsidP="002364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703D9" w:rsidRPr="00641167" w14:paraId="7B4CC084" w14:textId="77777777" w:rsidTr="00370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1" w:type="dxa"/>
          </w:tcPr>
          <w:p w14:paraId="27AF1DB6" w14:textId="77777777" w:rsidR="003703D9" w:rsidRPr="00641167" w:rsidRDefault="003703D9" w:rsidP="0023647C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</w:tcPr>
          <w:p w14:paraId="0413A4C4" w14:textId="1912491C" w:rsidR="003703D9" w:rsidRPr="00641167" w:rsidRDefault="003703D9" w:rsidP="002364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8769E">
              <w:rPr>
                <w:b/>
                <w:bCs/>
                <w:sz w:val="18"/>
                <w:szCs w:val="18"/>
              </w:rPr>
              <w:t>Totaal</w:t>
            </w:r>
          </w:p>
        </w:tc>
        <w:tc>
          <w:tcPr>
            <w:tcW w:w="1701" w:type="dxa"/>
          </w:tcPr>
          <w:p w14:paraId="00A497EC" w14:textId="617FF777" w:rsidR="003703D9" w:rsidRPr="00B8769E" w:rsidRDefault="003703D9" w:rsidP="002364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B8769E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8</w:t>
            </w:r>
            <w:r w:rsidR="00D14C1A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14:paraId="4564EC5C" w14:textId="16677B03" w:rsidR="003703D9" w:rsidRPr="00B8769E" w:rsidRDefault="003703D9" w:rsidP="002364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B8769E">
              <w:rPr>
                <w:b/>
                <w:bCs/>
                <w:sz w:val="18"/>
                <w:szCs w:val="18"/>
              </w:rPr>
              <w:t>100%</w:t>
            </w:r>
          </w:p>
        </w:tc>
      </w:tr>
    </w:tbl>
    <w:p w14:paraId="667D7A2A" w14:textId="7013AD7D" w:rsidR="00817528" w:rsidRPr="00817528" w:rsidRDefault="00C75540" w:rsidP="00817528">
      <w:pPr>
        <w:pStyle w:val="Kop1"/>
        <w:numPr>
          <w:ilvl w:val="0"/>
          <w:numId w:val="0"/>
        </w:numPr>
        <w:rPr>
          <w:sz w:val="20"/>
          <w:szCs w:val="22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EE3CFF2" wp14:editId="2D51E2A1">
            <wp:simplePos x="0" y="0"/>
            <wp:positionH relativeFrom="column">
              <wp:posOffset>0</wp:posOffset>
            </wp:positionH>
            <wp:positionV relativeFrom="paragraph">
              <wp:posOffset>441844</wp:posOffset>
            </wp:positionV>
            <wp:extent cx="5472546" cy="2299854"/>
            <wp:effectExtent l="0" t="0" r="13970" b="5715"/>
            <wp:wrapSquare wrapText="bothSides"/>
            <wp:docPr id="1228616913" name="Grafiek 1">
              <a:extLst xmlns:a="http://schemas.openxmlformats.org/drawingml/2006/main">
                <a:ext uri="{FF2B5EF4-FFF2-40B4-BE49-F238E27FC236}">
                  <a16:creationId xmlns:a16="http://schemas.microsoft.com/office/drawing/2014/main" id="{112D9B36-E1D8-47F0-B0AB-8884BFDCFB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9A3830">
        <w:rPr>
          <w:sz w:val="20"/>
          <w:szCs w:val="22"/>
        </w:rPr>
        <w:t xml:space="preserve">Scopes in cirkeldiagram </w:t>
      </w:r>
      <w:r w:rsidR="00817528" w:rsidRPr="00817528">
        <w:rPr>
          <w:sz w:val="20"/>
          <w:szCs w:val="22"/>
        </w:rPr>
        <w:t>van het jaar 202</w:t>
      </w:r>
      <w:r w:rsidR="003671A1">
        <w:rPr>
          <w:sz w:val="20"/>
          <w:szCs w:val="22"/>
        </w:rPr>
        <w:t>3</w:t>
      </w:r>
    </w:p>
    <w:p w14:paraId="1D0737E0" w14:textId="3C6EE134" w:rsidR="006D1C4F" w:rsidRPr="00B66417" w:rsidRDefault="00F964F7" w:rsidP="00B66417">
      <w:pPr>
        <w:pStyle w:val="Kop2"/>
        <w:numPr>
          <w:ilvl w:val="0"/>
          <w:numId w:val="0"/>
        </w:numPr>
        <w:rPr>
          <w:rFonts w:eastAsiaTheme="minorHAnsi" w:cstheme="minorBidi"/>
          <w:b w:val="0"/>
          <w:bCs w:val="0"/>
          <w:color w:val="auto"/>
          <w:sz w:val="18"/>
          <w:szCs w:val="22"/>
        </w:rPr>
      </w:pPr>
      <w:bookmarkStart w:id="1" w:name="_Toc135129227"/>
      <w:r w:rsidRPr="00B66417">
        <w:rPr>
          <w:rFonts w:eastAsiaTheme="minorHAnsi" w:cstheme="minorBidi"/>
          <w:b w:val="0"/>
          <w:bCs w:val="0"/>
          <w:color w:val="auto"/>
          <w:sz w:val="18"/>
          <w:szCs w:val="22"/>
        </w:rPr>
        <w:t>De Boomkwekerij de Jong van Laarhoven is 2022 begonnen met het rapporteren over hun CO</w:t>
      </w:r>
      <w:r w:rsidRPr="00B66417">
        <w:rPr>
          <w:rFonts w:eastAsiaTheme="minorHAnsi" w:cstheme="minorBidi"/>
          <w:b w:val="0"/>
          <w:bCs w:val="0"/>
          <w:color w:val="auto"/>
          <w:sz w:val="18"/>
          <w:szCs w:val="22"/>
          <w:vertAlign w:val="subscript"/>
        </w:rPr>
        <w:t>2</w:t>
      </w:r>
      <w:r w:rsidRPr="00B66417">
        <w:rPr>
          <w:rFonts w:eastAsiaTheme="minorHAnsi" w:cstheme="minorBidi"/>
          <w:b w:val="0"/>
          <w:bCs w:val="0"/>
          <w:color w:val="auto"/>
          <w:sz w:val="18"/>
          <w:szCs w:val="22"/>
        </w:rPr>
        <w:t>-uitstoot. De totale CO</w:t>
      </w:r>
      <w:r w:rsidRPr="00B66417">
        <w:rPr>
          <w:rFonts w:eastAsiaTheme="minorHAnsi" w:cstheme="minorBidi"/>
          <w:b w:val="0"/>
          <w:bCs w:val="0"/>
          <w:color w:val="auto"/>
          <w:sz w:val="18"/>
          <w:szCs w:val="22"/>
          <w:vertAlign w:val="subscript"/>
        </w:rPr>
        <w:t>2</w:t>
      </w:r>
      <w:r w:rsidRPr="00B66417">
        <w:rPr>
          <w:rFonts w:eastAsiaTheme="minorHAnsi" w:cstheme="minorBidi"/>
          <w:b w:val="0"/>
          <w:bCs w:val="0"/>
          <w:color w:val="auto"/>
          <w:sz w:val="18"/>
          <w:szCs w:val="22"/>
        </w:rPr>
        <w:t xml:space="preserve">-uitstoot </w:t>
      </w:r>
      <w:r w:rsidR="00BB457C" w:rsidRPr="00B66417">
        <w:rPr>
          <w:rFonts w:eastAsiaTheme="minorHAnsi" w:cstheme="minorBidi"/>
          <w:b w:val="0"/>
          <w:bCs w:val="0"/>
          <w:color w:val="auto"/>
          <w:sz w:val="18"/>
          <w:szCs w:val="22"/>
        </w:rPr>
        <w:t>in 2023 is 6 ton hoger dan in 2022</w:t>
      </w:r>
      <w:r w:rsidR="00E21E09" w:rsidRPr="00B66417">
        <w:rPr>
          <w:rFonts w:eastAsiaTheme="minorHAnsi" w:cstheme="minorBidi"/>
          <w:b w:val="0"/>
          <w:bCs w:val="0"/>
          <w:color w:val="auto"/>
          <w:sz w:val="18"/>
          <w:szCs w:val="22"/>
        </w:rPr>
        <w:t xml:space="preserve"> met 187</w:t>
      </w:r>
      <w:r w:rsidRPr="00B66417">
        <w:rPr>
          <w:rFonts w:eastAsiaTheme="minorHAnsi" w:cstheme="minorBidi"/>
          <w:b w:val="0"/>
          <w:bCs w:val="0"/>
          <w:color w:val="auto"/>
          <w:sz w:val="18"/>
          <w:szCs w:val="22"/>
        </w:rPr>
        <w:t xml:space="preserve"> ton </w:t>
      </w:r>
      <w:r w:rsidR="00E21E09" w:rsidRPr="00B66417">
        <w:rPr>
          <w:rFonts w:eastAsiaTheme="minorHAnsi" w:cstheme="minorBidi"/>
          <w:b w:val="0"/>
          <w:bCs w:val="0"/>
          <w:color w:val="auto"/>
          <w:sz w:val="18"/>
          <w:szCs w:val="22"/>
        </w:rPr>
        <w:t>CO</w:t>
      </w:r>
      <w:r w:rsidR="00E21E09" w:rsidRPr="00B66417">
        <w:rPr>
          <w:rFonts w:eastAsiaTheme="minorHAnsi" w:cstheme="minorBidi"/>
          <w:b w:val="0"/>
          <w:bCs w:val="0"/>
          <w:color w:val="auto"/>
          <w:sz w:val="18"/>
          <w:szCs w:val="22"/>
          <w:vertAlign w:val="subscript"/>
        </w:rPr>
        <w:t>2</w:t>
      </w:r>
      <w:r w:rsidR="00E21E09" w:rsidRPr="00B66417">
        <w:rPr>
          <w:rFonts w:eastAsiaTheme="minorHAnsi" w:cstheme="minorBidi"/>
          <w:b w:val="0"/>
          <w:bCs w:val="0"/>
          <w:color w:val="auto"/>
          <w:sz w:val="18"/>
          <w:szCs w:val="22"/>
        </w:rPr>
        <w:t xml:space="preserve"> en </w:t>
      </w:r>
      <w:r w:rsidRPr="00B66417">
        <w:rPr>
          <w:rFonts w:eastAsiaTheme="minorHAnsi" w:cstheme="minorBidi"/>
          <w:b w:val="0"/>
          <w:bCs w:val="0"/>
          <w:color w:val="auto"/>
          <w:sz w:val="18"/>
          <w:szCs w:val="22"/>
        </w:rPr>
        <w:t xml:space="preserve">wordt veroorzaakt door directe GHG-emissies (scope 1). </w:t>
      </w:r>
      <w:r w:rsidR="00E21E09" w:rsidRPr="00B66417">
        <w:rPr>
          <w:b w:val="0"/>
          <w:bCs w:val="0"/>
          <w:color w:val="auto"/>
          <w:sz w:val="18"/>
          <w:szCs w:val="22"/>
        </w:rPr>
        <w:t xml:space="preserve">De hogere uitstoot wordt veroorzaakt </w:t>
      </w:r>
      <w:r w:rsidR="00B33ADC" w:rsidRPr="00B66417">
        <w:rPr>
          <w:b w:val="0"/>
          <w:bCs w:val="0"/>
          <w:color w:val="auto"/>
          <w:sz w:val="18"/>
          <w:szCs w:val="22"/>
        </w:rPr>
        <w:t>door de toename aan grond die door de Boomkwekerij bewerkt wordt.</w:t>
      </w:r>
      <w:r w:rsidR="00571070" w:rsidRPr="00B66417">
        <w:rPr>
          <w:b w:val="0"/>
          <w:bCs w:val="0"/>
          <w:color w:val="auto"/>
          <w:sz w:val="18"/>
          <w:szCs w:val="22"/>
        </w:rPr>
        <w:t xml:space="preserve"> Om aan te tonen dat </w:t>
      </w:r>
      <w:r w:rsidR="00D5782A" w:rsidRPr="00B66417">
        <w:rPr>
          <w:b w:val="0"/>
          <w:bCs w:val="0"/>
          <w:color w:val="auto"/>
          <w:sz w:val="18"/>
          <w:szCs w:val="22"/>
        </w:rPr>
        <w:t>de reductiedoelstelling van 2023 wel is bereikt is de CO</w:t>
      </w:r>
      <w:r w:rsidR="00D5782A" w:rsidRPr="00B66417">
        <w:rPr>
          <w:b w:val="0"/>
          <w:bCs w:val="0"/>
          <w:color w:val="auto"/>
          <w:sz w:val="18"/>
          <w:szCs w:val="22"/>
          <w:vertAlign w:val="subscript"/>
        </w:rPr>
        <w:t>2</w:t>
      </w:r>
      <w:r w:rsidR="00D5782A" w:rsidRPr="00B66417">
        <w:rPr>
          <w:b w:val="0"/>
          <w:bCs w:val="0"/>
          <w:color w:val="auto"/>
          <w:sz w:val="18"/>
          <w:szCs w:val="22"/>
        </w:rPr>
        <w:t>-uitstoot hieronder gerelateerd aan FTE en hectare.</w:t>
      </w:r>
    </w:p>
    <w:p w14:paraId="1B0CD433" w14:textId="5BF6D09D" w:rsidR="00817528" w:rsidRPr="00B66417" w:rsidRDefault="00817528" w:rsidP="00F964F7">
      <w:pPr>
        <w:pStyle w:val="Kop2"/>
        <w:numPr>
          <w:ilvl w:val="0"/>
          <w:numId w:val="0"/>
        </w:numPr>
        <w:rPr>
          <w:rFonts w:eastAsiaTheme="minorHAnsi" w:cstheme="minorBidi"/>
          <w:b w:val="0"/>
          <w:bCs w:val="0"/>
          <w:color w:val="auto"/>
          <w:sz w:val="18"/>
          <w:szCs w:val="22"/>
        </w:rPr>
      </w:pPr>
      <w:r w:rsidRPr="00B66417">
        <w:rPr>
          <w:sz w:val="18"/>
          <w:szCs w:val="24"/>
        </w:rPr>
        <w:t>Relatieve CO</w:t>
      </w:r>
      <w:r w:rsidRPr="00B66417">
        <w:rPr>
          <w:rFonts w:ascii="Cambria Math" w:hAnsi="Cambria Math" w:cs="Cambria Math"/>
          <w:sz w:val="18"/>
          <w:szCs w:val="24"/>
        </w:rPr>
        <w:t>₂</w:t>
      </w:r>
      <w:r w:rsidRPr="00B66417">
        <w:rPr>
          <w:sz w:val="18"/>
          <w:szCs w:val="24"/>
        </w:rPr>
        <w:t>-uitstoot</w:t>
      </w:r>
      <w:bookmarkEnd w:id="1"/>
      <w:r w:rsidR="0005225F" w:rsidRPr="00B66417">
        <w:rPr>
          <w:sz w:val="18"/>
          <w:szCs w:val="24"/>
        </w:rPr>
        <w:t xml:space="preserve"> 2023</w:t>
      </w:r>
    </w:p>
    <w:p w14:paraId="43C53E45" w14:textId="57A54D81" w:rsidR="00A54053" w:rsidRDefault="00585C25">
      <w:pPr>
        <w:rPr>
          <w:sz w:val="18"/>
          <w:szCs w:val="22"/>
        </w:rPr>
      </w:pPr>
      <w:r w:rsidRPr="00B66417">
        <w:rPr>
          <w:sz w:val="18"/>
          <w:szCs w:val="22"/>
        </w:rPr>
        <w:t xml:space="preserve">De relatieve CO₂-uitstoot per medewerker is </w:t>
      </w:r>
      <w:r w:rsidR="00D5782A" w:rsidRPr="00B66417">
        <w:rPr>
          <w:sz w:val="18"/>
          <w:szCs w:val="22"/>
        </w:rPr>
        <w:t>9,85</w:t>
      </w:r>
      <w:r w:rsidRPr="00B66417">
        <w:rPr>
          <w:sz w:val="18"/>
          <w:szCs w:val="22"/>
        </w:rPr>
        <w:t xml:space="preserve"> ton CO₂</w:t>
      </w:r>
      <w:r w:rsidR="00E6784A" w:rsidRPr="00B66417">
        <w:rPr>
          <w:sz w:val="18"/>
          <w:szCs w:val="22"/>
        </w:rPr>
        <w:t xml:space="preserve"> ten opzichte van 10,03 ton CO₂ in 2022. D</w:t>
      </w:r>
      <w:r w:rsidR="00F42CC7" w:rsidRPr="00B66417">
        <w:rPr>
          <w:sz w:val="18"/>
          <w:szCs w:val="22"/>
        </w:rPr>
        <w:t xml:space="preserve">e relatieve CO₂-uitstoot per </w:t>
      </w:r>
      <w:r w:rsidR="00707458" w:rsidRPr="00B66417">
        <w:rPr>
          <w:sz w:val="18"/>
          <w:szCs w:val="22"/>
        </w:rPr>
        <w:t>hectare</w:t>
      </w:r>
      <w:r w:rsidR="00F42CC7" w:rsidRPr="00B66417">
        <w:rPr>
          <w:sz w:val="18"/>
          <w:szCs w:val="22"/>
        </w:rPr>
        <w:t xml:space="preserve"> is </w:t>
      </w:r>
      <w:r w:rsidR="00E6784A" w:rsidRPr="00B66417">
        <w:rPr>
          <w:sz w:val="18"/>
          <w:szCs w:val="22"/>
        </w:rPr>
        <w:t>1,63</w:t>
      </w:r>
      <w:r w:rsidR="00F42CC7" w:rsidRPr="00B66417">
        <w:rPr>
          <w:sz w:val="18"/>
          <w:szCs w:val="22"/>
        </w:rPr>
        <w:t xml:space="preserve"> ton CO₂</w:t>
      </w:r>
      <w:r w:rsidR="00E6784A" w:rsidRPr="00B66417">
        <w:rPr>
          <w:sz w:val="18"/>
          <w:szCs w:val="22"/>
        </w:rPr>
        <w:t xml:space="preserve"> in 2023 ten opzichte van </w:t>
      </w:r>
      <w:r w:rsidR="00E16BA9" w:rsidRPr="00B66417">
        <w:rPr>
          <w:sz w:val="18"/>
          <w:szCs w:val="22"/>
        </w:rPr>
        <w:t>1,75 ton in 2022</w:t>
      </w:r>
      <w:r w:rsidR="00F42CC7" w:rsidRPr="00B66417">
        <w:rPr>
          <w:sz w:val="18"/>
          <w:szCs w:val="22"/>
        </w:rPr>
        <w:t>. Door de CO</w:t>
      </w:r>
      <w:r w:rsidR="00F42CC7" w:rsidRPr="00B66417">
        <w:rPr>
          <w:sz w:val="18"/>
          <w:szCs w:val="22"/>
          <w:vertAlign w:val="subscript"/>
        </w:rPr>
        <w:t>2</w:t>
      </w:r>
      <w:r w:rsidR="00F42CC7" w:rsidRPr="00B66417">
        <w:rPr>
          <w:sz w:val="18"/>
          <w:szCs w:val="22"/>
        </w:rPr>
        <w:t xml:space="preserve">-uitstoot te relateren aan </w:t>
      </w:r>
      <w:r w:rsidR="00E16BA9" w:rsidRPr="00B66417">
        <w:rPr>
          <w:sz w:val="18"/>
          <w:szCs w:val="22"/>
        </w:rPr>
        <w:t xml:space="preserve">het aantal medewerkers en </w:t>
      </w:r>
      <w:r w:rsidR="00707458" w:rsidRPr="00B66417">
        <w:rPr>
          <w:sz w:val="18"/>
          <w:szCs w:val="22"/>
        </w:rPr>
        <w:t xml:space="preserve">de hoeveelheid grond die </w:t>
      </w:r>
      <w:r w:rsidR="00C40EED" w:rsidRPr="00B66417">
        <w:rPr>
          <w:sz w:val="18"/>
          <w:szCs w:val="22"/>
        </w:rPr>
        <w:t xml:space="preserve">bewerkt wordt is </w:t>
      </w:r>
      <w:r w:rsidR="00F42CC7" w:rsidRPr="00B66417">
        <w:rPr>
          <w:sz w:val="18"/>
          <w:szCs w:val="22"/>
        </w:rPr>
        <w:t>het mogelijk de CO</w:t>
      </w:r>
      <w:r w:rsidR="00F42CC7" w:rsidRPr="00B66417">
        <w:rPr>
          <w:sz w:val="18"/>
          <w:szCs w:val="22"/>
          <w:vertAlign w:val="subscript"/>
        </w:rPr>
        <w:t>2</w:t>
      </w:r>
      <w:r w:rsidR="00F42CC7" w:rsidRPr="00B66417">
        <w:rPr>
          <w:sz w:val="18"/>
          <w:szCs w:val="22"/>
        </w:rPr>
        <w:t xml:space="preserve">-uitstoot </w:t>
      </w:r>
      <w:r w:rsidR="00B66417" w:rsidRPr="00B66417">
        <w:rPr>
          <w:sz w:val="18"/>
          <w:szCs w:val="22"/>
        </w:rPr>
        <w:t>met het referentiejaar te vergelijken.</w:t>
      </w:r>
    </w:p>
    <w:p w14:paraId="7799B3E5" w14:textId="77777777" w:rsidR="00A54053" w:rsidRPr="00B66417" w:rsidRDefault="00A54053">
      <w:pPr>
        <w:rPr>
          <w:sz w:val="18"/>
          <w:szCs w:val="22"/>
        </w:rPr>
      </w:pPr>
    </w:p>
    <w:sectPr w:rsidR="00A54053" w:rsidRPr="00B66417" w:rsidSect="00CD0206">
      <w:headerReference w:type="default" r:id="rId8"/>
      <w:pgSz w:w="11906" w:h="16838" w:code="9"/>
      <w:pgMar w:top="89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F1435" w14:textId="77777777" w:rsidR="00D853CD" w:rsidRDefault="00D853CD">
      <w:pPr>
        <w:spacing w:after="0" w:line="240" w:lineRule="auto"/>
      </w:pPr>
      <w:r>
        <w:separator/>
      </w:r>
    </w:p>
  </w:endnote>
  <w:endnote w:type="continuationSeparator" w:id="0">
    <w:p w14:paraId="729AA339" w14:textId="77777777" w:rsidR="00D853CD" w:rsidRDefault="00D85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2A554" w14:textId="77777777" w:rsidR="00D853CD" w:rsidRDefault="00D853CD">
      <w:pPr>
        <w:spacing w:after="0" w:line="240" w:lineRule="auto"/>
      </w:pPr>
      <w:r>
        <w:separator/>
      </w:r>
    </w:p>
  </w:footnote>
  <w:footnote w:type="continuationSeparator" w:id="0">
    <w:p w14:paraId="012708B3" w14:textId="77777777" w:rsidR="00D853CD" w:rsidRDefault="00D85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E285A" w14:textId="6646FA91" w:rsidR="000C79D8" w:rsidRDefault="00104E9F">
    <w:pPr>
      <w:pStyle w:val="Koptekst"/>
    </w:pPr>
    <w:r w:rsidRPr="007201A5">
      <w:rPr>
        <w:noProof/>
      </w:rPr>
      <w:drawing>
        <wp:anchor distT="0" distB="0" distL="114300" distR="114300" simplePos="0" relativeHeight="251659264" behindDoc="1" locked="0" layoutInCell="1" allowOverlap="1" wp14:anchorId="4C078C34" wp14:editId="3A7DC597">
          <wp:simplePos x="0" y="0"/>
          <wp:positionH relativeFrom="column">
            <wp:posOffset>4501170</wp:posOffset>
          </wp:positionH>
          <wp:positionV relativeFrom="paragraph">
            <wp:posOffset>-429454</wp:posOffset>
          </wp:positionV>
          <wp:extent cx="1987274" cy="574411"/>
          <wp:effectExtent l="0" t="0" r="0" b="0"/>
          <wp:wrapNone/>
          <wp:docPr id="193976839" name="Afbeelding 193976839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274" cy="574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74666"/>
    <w:multiLevelType w:val="multilevel"/>
    <w:tmpl w:val="10A4AEAE"/>
    <w:lvl w:ilvl="0">
      <w:start w:val="1"/>
      <w:numFmt w:val="decimal"/>
      <w:pStyle w:val="Kop1"/>
      <w:lvlText w:val="%1"/>
      <w:lvlJc w:val="left"/>
      <w:pPr>
        <w:ind w:left="6663" w:firstLine="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pStyle w:val="Bijlage"/>
      <w:lvlText w:val="Bijlage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Kop3"/>
      <w:lvlText w:val="%1.%2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E3E4765"/>
    <w:multiLevelType w:val="hybridMultilevel"/>
    <w:tmpl w:val="625E21C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04BA6"/>
    <w:multiLevelType w:val="multilevel"/>
    <w:tmpl w:val="29DAE5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BE36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FBF1C9F"/>
    <w:multiLevelType w:val="multilevel"/>
    <w:tmpl w:val="5A282EEE"/>
    <w:lvl w:ilvl="0">
      <w:start w:val="1"/>
      <w:numFmt w:val="decimal"/>
      <w:pStyle w:val="Kopvaninhoudsopgav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83118163">
    <w:abstractNumId w:val="0"/>
  </w:num>
  <w:num w:numId="2" w16cid:durableId="1550610228">
    <w:abstractNumId w:val="0"/>
  </w:num>
  <w:num w:numId="3" w16cid:durableId="668558740">
    <w:abstractNumId w:val="2"/>
  </w:num>
  <w:num w:numId="4" w16cid:durableId="717896206">
    <w:abstractNumId w:val="1"/>
  </w:num>
  <w:num w:numId="5" w16cid:durableId="1412509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28"/>
    <w:rsid w:val="0005225F"/>
    <w:rsid w:val="000C79D8"/>
    <w:rsid w:val="000C7A00"/>
    <w:rsid w:val="00104E9F"/>
    <w:rsid w:val="00170717"/>
    <w:rsid w:val="0023647C"/>
    <w:rsid w:val="00261B52"/>
    <w:rsid w:val="00280143"/>
    <w:rsid w:val="00295416"/>
    <w:rsid w:val="00306FD0"/>
    <w:rsid w:val="003671A1"/>
    <w:rsid w:val="003703D9"/>
    <w:rsid w:val="003A1404"/>
    <w:rsid w:val="0041602F"/>
    <w:rsid w:val="00416048"/>
    <w:rsid w:val="004A2F19"/>
    <w:rsid w:val="0051289A"/>
    <w:rsid w:val="00521295"/>
    <w:rsid w:val="00537737"/>
    <w:rsid w:val="00543452"/>
    <w:rsid w:val="005458B8"/>
    <w:rsid w:val="00571070"/>
    <w:rsid w:val="00585B09"/>
    <w:rsid w:val="00585C25"/>
    <w:rsid w:val="005E5B7A"/>
    <w:rsid w:val="00613FFC"/>
    <w:rsid w:val="00621E45"/>
    <w:rsid w:val="006A5CBC"/>
    <w:rsid w:val="006D1C4F"/>
    <w:rsid w:val="006D7077"/>
    <w:rsid w:val="00707458"/>
    <w:rsid w:val="00745C62"/>
    <w:rsid w:val="007F111B"/>
    <w:rsid w:val="008030FB"/>
    <w:rsid w:val="00817528"/>
    <w:rsid w:val="00846D6B"/>
    <w:rsid w:val="008917AA"/>
    <w:rsid w:val="00894BC1"/>
    <w:rsid w:val="008E06EA"/>
    <w:rsid w:val="00911EC8"/>
    <w:rsid w:val="00933A4B"/>
    <w:rsid w:val="009A3830"/>
    <w:rsid w:val="009D2EA9"/>
    <w:rsid w:val="009E2385"/>
    <w:rsid w:val="009F1C84"/>
    <w:rsid w:val="00A54053"/>
    <w:rsid w:val="00A61551"/>
    <w:rsid w:val="00A96E25"/>
    <w:rsid w:val="00AB12C9"/>
    <w:rsid w:val="00B33ADC"/>
    <w:rsid w:val="00B66417"/>
    <w:rsid w:val="00B722D2"/>
    <w:rsid w:val="00B81B8C"/>
    <w:rsid w:val="00BB457C"/>
    <w:rsid w:val="00BB4E40"/>
    <w:rsid w:val="00BE3599"/>
    <w:rsid w:val="00C137A4"/>
    <w:rsid w:val="00C163E5"/>
    <w:rsid w:val="00C27F5F"/>
    <w:rsid w:val="00C40EED"/>
    <w:rsid w:val="00C75540"/>
    <w:rsid w:val="00C86A71"/>
    <w:rsid w:val="00CD0206"/>
    <w:rsid w:val="00CD53A9"/>
    <w:rsid w:val="00CD72D9"/>
    <w:rsid w:val="00CE3978"/>
    <w:rsid w:val="00CF69B1"/>
    <w:rsid w:val="00D14C1A"/>
    <w:rsid w:val="00D1504D"/>
    <w:rsid w:val="00D371AC"/>
    <w:rsid w:val="00D5782A"/>
    <w:rsid w:val="00D853CD"/>
    <w:rsid w:val="00D91A6E"/>
    <w:rsid w:val="00E16BA9"/>
    <w:rsid w:val="00E17D2C"/>
    <w:rsid w:val="00E21E09"/>
    <w:rsid w:val="00E26D73"/>
    <w:rsid w:val="00E6784A"/>
    <w:rsid w:val="00E96B35"/>
    <w:rsid w:val="00EB384C"/>
    <w:rsid w:val="00F42CC7"/>
    <w:rsid w:val="00F826FF"/>
    <w:rsid w:val="00F964F7"/>
    <w:rsid w:val="00F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8B878"/>
  <w15:chartTrackingRefBased/>
  <w15:docId w15:val="{B0769644-E011-480E-B6C9-9B505584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17528"/>
    <w:pPr>
      <w:spacing w:after="120" w:line="312" w:lineRule="auto"/>
      <w:jc w:val="both"/>
    </w:pPr>
    <w:rPr>
      <w:rFonts w:ascii="Verdana" w:hAnsi="Verdana"/>
      <w:kern w:val="0"/>
      <w:sz w:val="2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817528"/>
    <w:pPr>
      <w:keepNext/>
      <w:keepLines/>
      <w:numPr>
        <w:numId w:val="1"/>
      </w:numPr>
      <w:spacing w:before="360" w:after="240"/>
      <w:ind w:left="0"/>
      <w:jc w:val="left"/>
      <w:outlineLvl w:val="0"/>
    </w:pPr>
    <w:rPr>
      <w:rFonts w:eastAsiaTheme="majorEastAsia" w:cstheme="majorBidi"/>
      <w:b/>
      <w:bCs/>
      <w:color w:val="1E757E" w:themeColor="text2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17528"/>
    <w:pPr>
      <w:keepNext/>
      <w:keepLines/>
      <w:numPr>
        <w:ilvl w:val="1"/>
        <w:numId w:val="1"/>
      </w:numPr>
      <w:spacing w:before="240"/>
      <w:jc w:val="left"/>
      <w:outlineLvl w:val="1"/>
    </w:pPr>
    <w:rPr>
      <w:rFonts w:eastAsiaTheme="majorEastAsia" w:cstheme="majorBidi"/>
      <w:b/>
      <w:bCs/>
      <w:color w:val="4A9097" w:themeColor="accent2"/>
      <w:szCs w:val="26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817528"/>
    <w:pPr>
      <w:numPr>
        <w:ilvl w:val="3"/>
      </w:numPr>
      <w:spacing w:before="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91A6E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817528"/>
    <w:rPr>
      <w:rFonts w:ascii="Verdana" w:eastAsiaTheme="majorEastAsia" w:hAnsi="Verdana" w:cstheme="majorBidi"/>
      <w:b/>
      <w:bCs/>
      <w:color w:val="1E757E" w:themeColor="text2"/>
      <w:kern w:val="0"/>
      <w:szCs w:val="28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817528"/>
    <w:rPr>
      <w:rFonts w:ascii="Verdana" w:eastAsiaTheme="majorEastAsia" w:hAnsi="Verdana" w:cstheme="majorBidi"/>
      <w:b/>
      <w:bCs/>
      <w:color w:val="4A9097" w:themeColor="accent2"/>
      <w:kern w:val="0"/>
      <w:sz w:val="20"/>
      <w:szCs w:val="26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rsid w:val="00817528"/>
    <w:rPr>
      <w:rFonts w:ascii="Verdana" w:eastAsiaTheme="majorEastAsia" w:hAnsi="Verdana" w:cstheme="majorBidi"/>
      <w:b/>
      <w:bCs/>
      <w:color w:val="4A9097" w:themeColor="accent2"/>
      <w:kern w:val="0"/>
      <w:sz w:val="20"/>
      <w:szCs w:val="26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817528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17528"/>
    <w:rPr>
      <w:rFonts w:ascii="Verdana" w:hAnsi="Verdana"/>
      <w:kern w:val="0"/>
      <w:sz w:val="20"/>
      <w14:ligatures w14:val="none"/>
    </w:rPr>
  </w:style>
  <w:style w:type="paragraph" w:customStyle="1" w:styleId="Bijlage">
    <w:name w:val="Bijlage"/>
    <w:basedOn w:val="Kop2"/>
    <w:qFormat/>
    <w:rsid w:val="00817528"/>
    <w:pPr>
      <w:numPr>
        <w:ilvl w:val="2"/>
      </w:numPr>
    </w:pPr>
    <w:rPr>
      <w:color w:val="9AAA9F"/>
    </w:rPr>
  </w:style>
  <w:style w:type="table" w:styleId="Rastertabel4-Accent2">
    <w:name w:val="Grid Table 4 Accent 2"/>
    <w:basedOn w:val="Standaardtabel"/>
    <w:uiPriority w:val="49"/>
    <w:rsid w:val="00817528"/>
    <w:rPr>
      <w:kern w:val="0"/>
      <w14:ligatures w14:val="none"/>
    </w:rPr>
    <w:tblPr>
      <w:tblStyleRowBandSize w:val="1"/>
      <w:tblStyleColBandSize w:val="1"/>
      <w:tblBorders>
        <w:top w:val="single" w:sz="4" w:space="0" w:color="8CC1C6" w:themeColor="accent2" w:themeTint="99"/>
        <w:left w:val="single" w:sz="4" w:space="0" w:color="8CC1C6" w:themeColor="accent2" w:themeTint="99"/>
        <w:bottom w:val="single" w:sz="4" w:space="0" w:color="8CC1C6" w:themeColor="accent2" w:themeTint="99"/>
        <w:right w:val="single" w:sz="4" w:space="0" w:color="8CC1C6" w:themeColor="accent2" w:themeTint="99"/>
        <w:insideH w:val="single" w:sz="4" w:space="0" w:color="8CC1C6" w:themeColor="accent2" w:themeTint="99"/>
        <w:insideV w:val="single" w:sz="4" w:space="0" w:color="8CC1C6" w:themeColor="accent2" w:themeTint="99"/>
      </w:tblBorders>
    </w:tblPr>
    <w:tblStylePr w:type="firstRow">
      <w:rPr>
        <w:b/>
        <w:bCs/>
        <w:color w:val="F5F8F7" w:themeColor="background1"/>
      </w:rPr>
      <w:tblPr/>
      <w:tcPr>
        <w:tcBorders>
          <w:top w:val="single" w:sz="4" w:space="0" w:color="4A9097" w:themeColor="accent2"/>
          <w:left w:val="single" w:sz="4" w:space="0" w:color="4A9097" w:themeColor="accent2"/>
          <w:bottom w:val="single" w:sz="4" w:space="0" w:color="4A9097" w:themeColor="accent2"/>
          <w:right w:val="single" w:sz="4" w:space="0" w:color="4A9097" w:themeColor="accent2"/>
          <w:insideH w:val="nil"/>
          <w:insideV w:val="nil"/>
        </w:tcBorders>
        <w:shd w:val="clear" w:color="auto" w:fill="4A9097" w:themeFill="accent2"/>
      </w:tcPr>
    </w:tblStylePr>
    <w:tblStylePr w:type="lastRow">
      <w:rPr>
        <w:b/>
        <w:bCs/>
      </w:rPr>
      <w:tblPr/>
      <w:tcPr>
        <w:tcBorders>
          <w:top w:val="double" w:sz="4" w:space="0" w:color="4A909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AEC" w:themeFill="accent2" w:themeFillTint="33"/>
      </w:tcPr>
    </w:tblStylePr>
    <w:tblStylePr w:type="band1Horz">
      <w:tblPr/>
      <w:tcPr>
        <w:shd w:val="clear" w:color="auto" w:fill="D8EAEC" w:themeFill="accent2" w:themeFillTint="33"/>
      </w:tcPr>
    </w:tblStylePr>
  </w:style>
  <w:style w:type="paragraph" w:styleId="Voettekst">
    <w:name w:val="footer"/>
    <w:basedOn w:val="Standaard"/>
    <w:link w:val="VoettekstChar"/>
    <w:uiPriority w:val="99"/>
    <w:unhideWhenUsed/>
    <w:rsid w:val="00C8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6A71"/>
    <w:rPr>
      <w:rFonts w:ascii="Verdana" w:hAnsi="Verdana"/>
      <w:kern w:val="0"/>
      <w:sz w:val="20"/>
      <w14:ligatures w14:val="none"/>
    </w:rPr>
  </w:style>
  <w:style w:type="table" w:styleId="Tabelraster">
    <w:name w:val="Table Grid"/>
    <w:basedOn w:val="Standaardtabel"/>
    <w:uiPriority w:val="39"/>
    <w:rsid w:val="000C79D8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vaninhoudsopgave">
    <w:name w:val="TOC Heading"/>
    <w:basedOn w:val="Kop1"/>
    <w:next w:val="Standaard"/>
    <w:uiPriority w:val="39"/>
    <w:unhideWhenUsed/>
    <w:qFormat/>
    <w:rsid w:val="000C79D8"/>
    <w:pPr>
      <w:numPr>
        <w:numId w:val="5"/>
      </w:numPr>
      <w:spacing w:before="240" w:line="259" w:lineRule="auto"/>
      <w:ind w:left="0"/>
      <w:outlineLvl w:val="9"/>
    </w:pPr>
    <w:rPr>
      <w:bCs w:val="0"/>
      <w:sz w:val="32"/>
      <w:szCs w:val="32"/>
      <w:lang w:eastAsia="nl-NL"/>
    </w:rPr>
  </w:style>
  <w:style w:type="paragraph" w:styleId="Geenafstand">
    <w:name w:val="No Spacing"/>
    <w:aliases w:val="Standaard 1"/>
    <w:basedOn w:val="Standaard"/>
    <w:uiPriority w:val="1"/>
    <w:qFormat/>
    <w:rsid w:val="000C79D8"/>
    <w:rPr>
      <w:color w:val="9FB9AF" w:themeColor="accent3"/>
      <w:szCs w:val="22"/>
    </w:rPr>
  </w:style>
  <w:style w:type="paragraph" w:styleId="Titel">
    <w:name w:val="Title"/>
    <w:basedOn w:val="Standaard"/>
    <w:next w:val="Standaard"/>
    <w:link w:val="TitelChar"/>
    <w:uiPriority w:val="10"/>
    <w:qFormat/>
    <w:rsid w:val="000C79D8"/>
    <w:pPr>
      <w:contextualSpacing/>
      <w:jc w:val="center"/>
    </w:pPr>
    <w:rPr>
      <w:rFonts w:eastAsiaTheme="majorEastAsia" w:cstheme="majorBidi"/>
      <w:color w:val="9FB9AF" w:themeColor="accent3"/>
      <w:spacing w:val="-10"/>
      <w:kern w:val="28"/>
      <w:sz w:val="2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C79D8"/>
    <w:rPr>
      <w:rFonts w:ascii="Verdana" w:eastAsiaTheme="majorEastAsia" w:hAnsi="Verdana" w:cstheme="majorBidi"/>
      <w:color w:val="9FB9AF" w:themeColor="accent3"/>
      <w:spacing w:val="-10"/>
      <w:kern w:val="28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hn5d5e8b3046e13-my.sharepoint.com/personal/gripp_power-ed_nl/Documents/Notitieblokken/Gripp/Relaties/B/Boomkwekerij%20De%20Jo%20-%20542021061/03%20Product/3.08%20CO2%20prestatieladder/06%20Onderhoud/BdJvL_Emissie-inventaris_ingevul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r>
              <a:rPr lang="nl-NL" b="1"/>
              <a:t>CO</a:t>
            </a:r>
            <a:r>
              <a:rPr lang="nl-NL" b="1" baseline="-25000"/>
              <a:t>2</a:t>
            </a:r>
            <a:r>
              <a:rPr lang="nl-NL" b="1"/>
              <a:t>-uitstoot </a:t>
            </a:r>
            <a:r>
              <a:rPr lang="nl-NL" b="1" baseline="0"/>
              <a:t>2023 (187 ton)</a:t>
            </a:r>
            <a:endParaRPr lang="nl-NL" b="1"/>
          </a:p>
        </c:rich>
      </c:tx>
      <c:overlay val="0"/>
      <c:spPr>
        <a:solidFill>
          <a:sysClr val="window" lastClr="FFFFFF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nl-NL"/>
        </a:p>
      </c:txPr>
    </c:title>
    <c:autoTitleDeleted val="0"/>
    <c:plotArea>
      <c:layout>
        <c:manualLayout>
          <c:layoutTarget val="inner"/>
          <c:xMode val="edge"/>
          <c:yMode val="edge"/>
          <c:x val="7.4083989501312356E-2"/>
          <c:y val="0.17863444152814228"/>
          <c:w val="0.37405424321959757"/>
          <c:h val="0.6234237386993292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C55-456B-A549-D3C0A81BC35D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C55-456B-A549-D3C0A81BC35D}"/>
              </c:ext>
            </c:extLst>
          </c:dPt>
          <c:dPt>
            <c:idx val="2"/>
            <c:bubble3D val="0"/>
            <c:explosion val="8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C55-456B-A549-D3C0A81BC35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endParaRPr lang="nl-N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'Grafiek 2023'!$B$4:$B$6</c:f>
              <c:strCache>
                <c:ptCount val="3"/>
                <c:pt idx="0">
                  <c:v>Elektriciteitsverbruik (kWh)</c:v>
                </c:pt>
                <c:pt idx="1">
                  <c:v>Gasverbruik (m3)</c:v>
                </c:pt>
                <c:pt idx="2">
                  <c:v>Brandstofverbruik wagenpark (ltr)</c:v>
                </c:pt>
              </c:strCache>
            </c:strRef>
          </c:cat>
          <c:val>
            <c:numRef>
              <c:f>'Grafiek 2023'!$E$4:$E$6</c:f>
              <c:numCache>
                <c:formatCode>0%</c:formatCode>
                <c:ptCount val="3"/>
                <c:pt idx="0">
                  <c:v>0</c:v>
                </c:pt>
                <c:pt idx="1">
                  <c:v>7.4509992881010637E-2</c:v>
                </c:pt>
                <c:pt idx="2">
                  <c:v>0.92549000711898921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C55-456B-A549-D3C0A81BC3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5673972003499561"/>
          <c:y val="0.28353966170895306"/>
          <c:w val="0.33374278215223097"/>
          <c:h val="0.355349227179935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nl-N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ysClr val="window" lastClr="FFFFFF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Verdana" panose="020B0604030504040204" pitchFamily="34" charset="0"/>
          <a:ea typeface="Verdana" panose="020B0604030504040204" pitchFamily="34" charset="0"/>
        </a:defRPr>
      </a:pPr>
      <a:endParaRPr lang="nl-N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Power-ED">
  <a:themeElements>
    <a:clrScheme name="Power-ED_01">
      <a:dk1>
        <a:srgbClr val="6E6E70"/>
      </a:dk1>
      <a:lt1>
        <a:srgbClr val="F5F8F7"/>
      </a:lt1>
      <a:dk2>
        <a:srgbClr val="1E757E"/>
      </a:dk2>
      <a:lt2>
        <a:srgbClr val="EDF2F0"/>
      </a:lt2>
      <a:accent1>
        <a:srgbClr val="CB0935"/>
      </a:accent1>
      <a:accent2>
        <a:srgbClr val="4A9097"/>
      </a:accent2>
      <a:accent3>
        <a:srgbClr val="9FB9AF"/>
      </a:accent3>
      <a:accent4>
        <a:srgbClr val="A5C7CB"/>
      </a:accent4>
      <a:accent5>
        <a:srgbClr val="A2072A"/>
      </a:accent5>
      <a:accent6>
        <a:srgbClr val="843454"/>
      </a:accent6>
      <a:hlink>
        <a:srgbClr val="12464B"/>
      </a:hlink>
      <a:folHlink>
        <a:srgbClr val="A8C0B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Power-ED | Anne Letz</dc:creator>
  <cp:keywords/>
  <dc:description/>
  <cp:lastModifiedBy>Info | de Jong van Laarhoven b.v.</cp:lastModifiedBy>
  <cp:revision>2</cp:revision>
  <cp:lastPrinted>2023-07-04T08:58:00Z</cp:lastPrinted>
  <dcterms:created xsi:type="dcterms:W3CDTF">2024-06-25T14:00:00Z</dcterms:created>
  <dcterms:modified xsi:type="dcterms:W3CDTF">2024-06-25T14:00:00Z</dcterms:modified>
</cp:coreProperties>
</file>